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C65D7">
      <w:pPr>
        <w:widowControl w:val="0"/>
        <w:spacing w:before="480" w:after="480" w:line="288" w:lineRule="auto"/>
        <w:jc w:val="center"/>
        <w:rPr>
          <w:rFonts w:hint="eastAsia" w:ascii="Calibri" w:hAnsi="Calibri" w:eastAsia="等线" w:cs="Arial"/>
          <w:b/>
          <w:sz w:val="36"/>
          <w:szCs w:val="36"/>
          <w:lang w:eastAsia="zh-CN"/>
        </w:rPr>
      </w:pPr>
    </w:p>
    <w:p w14:paraId="04C0C33D">
      <w:pPr>
        <w:widowControl w:val="0"/>
        <w:spacing w:before="480" w:after="480" w:line="288" w:lineRule="auto"/>
        <w:jc w:val="center"/>
        <w:rPr>
          <w:rFonts w:hint="eastAsia" w:ascii="Calibri" w:hAnsi="Calibri" w:eastAsia="等线" w:cs="Arial"/>
          <w:b/>
          <w:sz w:val="36"/>
          <w:szCs w:val="36"/>
          <w:lang w:eastAsia="zh-CN"/>
        </w:rPr>
      </w:pPr>
    </w:p>
    <w:p w14:paraId="3F146061">
      <w:pPr>
        <w:widowControl w:val="0"/>
        <w:spacing w:before="480" w:after="480" w:line="288" w:lineRule="auto"/>
        <w:jc w:val="center"/>
        <w:rPr>
          <w:rFonts w:hint="eastAsia" w:ascii="Calibri" w:hAnsi="Calibri" w:eastAsia="等线" w:cs="Arial"/>
          <w:b/>
          <w:sz w:val="36"/>
          <w:szCs w:val="36"/>
          <w:lang w:eastAsia="zh-CN"/>
        </w:rPr>
      </w:pPr>
    </w:p>
    <w:p w14:paraId="73DFB134">
      <w:pPr>
        <w:widowControl w:val="0"/>
        <w:spacing w:before="480" w:after="480" w:line="288" w:lineRule="auto"/>
        <w:jc w:val="center"/>
        <w:rPr>
          <w:rFonts w:hint="eastAsia" w:ascii="Calibri" w:hAnsi="Calibri" w:eastAsia="等线" w:cs="Arial"/>
          <w:b/>
          <w:sz w:val="36"/>
          <w:szCs w:val="36"/>
          <w:lang w:eastAsia="zh-CN"/>
        </w:rPr>
      </w:pPr>
    </w:p>
    <w:p w14:paraId="48BD411A">
      <w:pPr>
        <w:widowControl w:val="0"/>
        <w:spacing w:before="480" w:after="480" w:line="288" w:lineRule="auto"/>
        <w:jc w:val="center"/>
        <w:rPr>
          <w:rFonts w:hint="default" w:ascii="Calibri" w:hAnsi="Calibri" w:eastAsia="等线" w:cs="Arial"/>
          <w:b/>
          <w:sz w:val="36"/>
          <w:szCs w:val="36"/>
          <w:lang w:val="en-US"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t>Release Notes UnifyAC_CR_1.1.0.5</w:t>
      </w:r>
    </w:p>
    <w:p w14:paraId="42E1A031">
      <w:pPr>
        <w:widowControl w:val="0"/>
        <w:spacing w:before="480" w:after="480" w:line="288" w:lineRule="auto"/>
        <w:jc w:val="center"/>
        <w:rPr>
          <w:rFonts w:hint="eastAsia" w:ascii="Calibri" w:hAnsi="Calibri" w:eastAsia="等线" w:cs="Arial"/>
          <w:b/>
          <w:sz w:val="36"/>
          <w:szCs w:val="36"/>
          <w:lang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br w:type="page"/>
      </w:r>
    </w:p>
    <w:p w14:paraId="788A3460">
      <w:pPr>
        <w:pStyle w:val="4"/>
        <w:spacing w:line="240" w:lineRule="auto"/>
      </w:pPr>
      <w:r>
        <w:t>1. Release Overview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7BF1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85E4EAC">
            <w:pPr>
              <w:widowControl w:val="0"/>
              <w:spacing w:before="120" w:after="120" w:line="288" w:lineRule="auto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Product</w:t>
            </w:r>
          </w:p>
        </w:tc>
        <w:tc>
          <w:tcPr>
            <w:tcW w:w="5737" w:type="dxa"/>
          </w:tcPr>
          <w:p w14:paraId="415809A1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en-US"/>
              </w:rPr>
            </w:pPr>
            <w:r>
              <w:rPr>
                <w:rFonts w:hint="default" w:ascii="Calibri" w:hAnsi="Calibri" w:eastAsia="等线" w:cs="Arial"/>
                <w:lang w:val="en-US" w:eastAsia="en-US"/>
              </w:rPr>
              <w:t>Corning AC (UnifyAC)</w:t>
            </w:r>
          </w:p>
        </w:tc>
      </w:tr>
      <w:tr w14:paraId="045B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D88D236">
            <w:pPr>
              <w:widowControl w:val="0"/>
              <w:spacing w:before="120" w:after="120" w:line="288" w:lineRule="auto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Version</w:t>
            </w:r>
          </w:p>
        </w:tc>
        <w:tc>
          <w:tcPr>
            <w:tcW w:w="5737" w:type="dxa"/>
          </w:tcPr>
          <w:p w14:paraId="2B9762F3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val="en-US" w:eastAsia="zh-CN"/>
              </w:rPr>
              <w:t>UnifyAC_CR_1.1.0.5</w:t>
            </w:r>
          </w:p>
        </w:tc>
      </w:tr>
      <w:tr w14:paraId="0CB8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503DFC0">
            <w:pPr>
              <w:widowControl w:val="0"/>
              <w:spacing w:before="120" w:after="120" w:line="288" w:lineRule="auto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Release Date</w:t>
            </w:r>
          </w:p>
        </w:tc>
        <w:tc>
          <w:tcPr>
            <w:tcW w:w="5737" w:type="dxa"/>
          </w:tcPr>
          <w:p w14:paraId="507CD134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2026-09-30</w:t>
            </w:r>
          </w:p>
        </w:tc>
      </w:tr>
      <w:tr w14:paraId="0AFF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19" w:type="dxa"/>
          </w:tcPr>
          <w:p w14:paraId="7CAD4509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Build ID</w:t>
            </w:r>
            <w:r>
              <w:rPr>
                <w:rFonts w:hint="default" w:ascii="Calibri" w:hAnsi="Calibri" w:eastAsia="等线" w:cs="Arial"/>
                <w:lang w:val="en-US" w:eastAsia="en-US"/>
              </w:rPr>
              <w:t xml:space="preserve"> (Commit ID)</w:t>
            </w:r>
          </w:p>
        </w:tc>
        <w:tc>
          <w:tcPr>
            <w:tcW w:w="5737" w:type="dxa"/>
          </w:tcPr>
          <w:p w14:paraId="6DA2DE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8022ceb, c75a40, 70eba7</w:t>
            </w:r>
          </w:p>
        </w:tc>
      </w:tr>
      <w:tr w14:paraId="28AE6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ECF5BEC">
            <w:pPr>
              <w:widowControl w:val="0"/>
              <w:spacing w:before="120" w:after="120" w:line="288" w:lineRule="auto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Release Type</w:t>
            </w:r>
          </w:p>
        </w:tc>
        <w:tc>
          <w:tcPr>
            <w:tcW w:w="5737" w:type="dxa"/>
          </w:tcPr>
          <w:p w14:paraId="2EF2A403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default" w:ascii="Calibri" w:hAnsi="Calibri" w:eastAsia="等线" w:cs="Arial"/>
                <w:lang w:val="en-US" w:eastAsia="zh-CN"/>
              </w:rPr>
              <w:t>Maintenance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 xml:space="preserve"> Release</w:t>
            </w:r>
          </w:p>
        </w:tc>
      </w:tr>
      <w:tr w14:paraId="47813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676295C">
            <w:pPr>
              <w:widowControl w:val="0"/>
              <w:spacing w:before="120" w:after="120" w:line="288" w:lineRule="auto"/>
              <w:jc w:val="left"/>
              <w:rPr>
                <w:rFonts w:hint="eastAsia" w:ascii="Calibri" w:hAnsi="Calibri" w:eastAsia="等线" w:cs="Arial"/>
                <w:lang w:val="en-US" w:eastAsia="en-US"/>
              </w:rPr>
            </w:pPr>
            <w:r>
              <w:rPr>
                <w:rFonts w:hint="eastAsia" w:ascii="Calibri" w:hAnsi="Calibri" w:eastAsia="等线" w:cs="Arial"/>
                <w:lang w:val="en-US" w:eastAsia="en-US"/>
              </w:rPr>
              <w:t>Upgrade Recommendation</w:t>
            </w:r>
          </w:p>
        </w:tc>
        <w:tc>
          <w:tcPr>
            <w:tcW w:w="5737" w:type="dxa"/>
          </w:tcPr>
          <w:p w14:paraId="3323B9E1">
            <w:pPr>
              <w:widowControl w:val="0"/>
              <w:spacing w:before="120" w:after="120" w:line="288" w:lineRule="auto"/>
              <w:jc w:val="left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b/>
                <w:bCs/>
                <w:lang w:val="en-US" w:eastAsia="en-US"/>
              </w:rPr>
              <w:t>Recommended</w:t>
            </w:r>
          </w:p>
        </w:tc>
      </w:tr>
    </w:tbl>
    <w:p w14:paraId="45E0D0E3">
      <w:pPr>
        <w:pStyle w:val="30"/>
        <w:keepNext w:val="0"/>
        <w:keepLines w:val="0"/>
        <w:widowControl/>
        <w:suppressLineNumbers w:val="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  <w:t>2. Supported Platforms</w:t>
      </w:r>
    </w:p>
    <w:p w14:paraId="02AB7FF8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default" w:ascii="Calibri" w:hAnsi="Calibri" w:eastAsia="Calibri" w:cs="Times New Roman"/>
          <w:lang w:val="en-US" w:eastAsia="en-US"/>
        </w:rPr>
        <w:t>Corning AC (UnifyAC)</w:t>
      </w:r>
    </w:p>
    <w:p w14:paraId="0E5BBD76">
      <w:pPr>
        <w:pStyle w:val="30"/>
        <w:keepNext w:val="0"/>
        <w:keepLines w:val="0"/>
        <w:widowControl/>
        <w:suppressLineNumbers w:val="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  <w:t>3. Key Highlights</w:t>
      </w:r>
    </w:p>
    <w:p w14:paraId="37577EC5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DPSK Function Enhancement: Support binding of DPSK and VLAN.</w:t>
      </w:r>
    </w:p>
    <w:p w14:paraId="6D0F376A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STA List Enhancement: Enable quick navigation from the STA list to AP Detail page.</w:t>
      </w:r>
    </w:p>
    <w:p w14:paraId="6311B87F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SSID Configuration Page: Restrict users from selecting centralized forwarding in VM deployment scenarios to prevent performance degradation of VM-based centralized forwarding and poor user experience.</w:t>
      </w:r>
    </w:p>
    <w:p w14:paraId="16011D67">
      <w:pPr>
        <w:widowControl w:val="0"/>
        <w:numPr>
          <w:numId w:val="0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</w:p>
    <w:p w14:paraId="7C9D2B49">
      <w:pPr>
        <w:pStyle w:val="30"/>
        <w:keepNext w:val="0"/>
        <w:keepLines w:val="0"/>
        <w:widowControl/>
        <w:numPr>
          <w:ilvl w:val="0"/>
          <w:numId w:val="8"/>
        </w:numPr>
        <w:suppressLineNumbers w:val="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en-US" w:bidi="ar-SA"/>
          <w14:textFill>
            <w14:solidFill>
              <w14:schemeClr w14:val="accent1"/>
            </w14:solidFill>
          </w14:textFill>
        </w:rPr>
        <w:t>New Features</w:t>
      </w:r>
    </w:p>
    <w:p w14:paraId="5938A256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DPSK Function Enhancement</w:t>
      </w:r>
    </w:p>
    <w:p w14:paraId="62985BB0">
      <w:pPr>
        <w:pStyle w:val="146"/>
        <w:numPr>
          <w:ilvl w:val="0"/>
          <w:numId w:val="9"/>
        </w:numPr>
        <w:spacing w:after="60" w:line="290" w:lineRule="auto"/>
        <w:rPr>
          <w:b w:val="0"/>
          <w:bCs w:val="0"/>
        </w:rPr>
      </w:pPr>
      <w:r>
        <w:rPr>
          <w:rFonts w:hint="eastAsia" w:ascii="Calibri" w:hAnsi="Calibri" w:eastAsia="Calibri" w:cs="Times New Roman"/>
          <w:lang w:val="en-US" w:eastAsia="zh-CN"/>
        </w:rPr>
        <w:t>Support binding of DPSK and VLAN</w:t>
      </w:r>
    </w:p>
    <w:p w14:paraId="65FAD54C">
      <w:pPr>
        <w:pStyle w:val="146"/>
        <w:numPr>
          <w:ilvl w:val="0"/>
          <w:numId w:val="9"/>
        </w:numPr>
        <w:spacing w:after="60" w:line="290" w:lineRule="auto"/>
        <w:rPr>
          <w:b w:val="0"/>
          <w:bCs w:val="0"/>
        </w:rPr>
      </w:pPr>
      <w:r>
        <w:rPr>
          <w:rFonts w:hint="eastAsia" w:ascii="Calibri" w:hAnsi="Calibri" w:eastAsia="Calibri" w:cs="Times New Roman"/>
          <w:lang w:val="en-US" w:eastAsia="zh-CN"/>
        </w:rPr>
        <w:t>New DPSK Setting Page</w:t>
      </w:r>
    </w:p>
    <w:p w14:paraId="4C542EF7">
      <w:pPr>
        <w:pStyle w:val="146"/>
        <w:numPr>
          <w:ilvl w:val="0"/>
          <w:numId w:val="9"/>
        </w:numPr>
        <w:spacing w:after="60" w:line="290" w:lineRule="auto"/>
        <w:rPr>
          <w:b w:val="0"/>
          <w:bCs w:val="0"/>
        </w:rPr>
      </w:pPr>
      <w:r>
        <w:rPr>
          <w:rFonts w:hint="eastAsia" w:ascii="Calibri" w:hAnsi="Calibri" w:eastAsia="Calibri" w:cs="Times New Roman"/>
          <w:lang w:val="en-US" w:eastAsia="zh-CN"/>
        </w:rPr>
        <w:t>DPSK Batch Import &amp; Export</w:t>
      </w:r>
    </w:p>
    <w:p w14:paraId="6EBB13DF">
      <w:pPr>
        <w:pStyle w:val="146"/>
        <w:numPr>
          <w:numId w:val="0"/>
        </w:numPr>
        <w:spacing w:after="60" w:line="290" w:lineRule="auto"/>
        <w:rPr>
          <w:b w:val="0"/>
          <w:bCs w:val="0"/>
        </w:rPr>
      </w:pPr>
      <w:r>
        <w:drawing>
          <wp:inline distT="0" distB="0" distL="114300" distR="114300">
            <wp:extent cx="5476875" cy="1857375"/>
            <wp:effectExtent l="9525" t="9525" r="1270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8573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05FF191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STA List Enhancement</w:t>
      </w:r>
    </w:p>
    <w:p w14:paraId="5B61C7D3">
      <w:pPr>
        <w:spacing w:after="120" w:line="30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78780" cy="2778760"/>
            <wp:effectExtent l="9525" t="9525" r="10795" b="18415"/>
            <wp:docPr id="2" name="图片 2" descr="c1edf81e-7781-45fe-9c7d-45206f124b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1edf81e-7781-45fe-9c7d-45206f124be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277876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A95EFE9">
      <w:pPr>
        <w:spacing w:after="120" w:line="300" w:lineRule="auto"/>
      </w:pPr>
      <w:r>
        <w:rPr>
          <w:rFonts w:hint="eastAsia" w:ascii="Calibri" w:hAnsi="Calibri" w:eastAsia="Calibri" w:cs="Times New Roman"/>
          <w:lang w:val="en-US" w:eastAsia="zh-CN"/>
        </w:rPr>
        <w:t>Enable quick navigation from the STA list to AP Detail page.</w:t>
      </w:r>
    </w:p>
    <w:p w14:paraId="2DC9B121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t>SSID Centralized Forwarding Restriction</w:t>
      </w:r>
    </w:p>
    <w:p w14:paraId="2656AE71">
      <w:pPr>
        <w:spacing w:after="120" w:line="300" w:lineRule="auto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Restrict users from selecting centralized forwarding in VM deployment scenarios to prevent performance degradation of VM-based centralized forwarding and poor user experience.</w:t>
      </w:r>
    </w:p>
    <w:p w14:paraId="440C5B9D">
      <w:pPr>
        <w:spacing w:after="120" w:line="300" w:lineRule="auto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drawing>
          <wp:inline distT="0" distB="0" distL="114300" distR="114300">
            <wp:extent cx="2562860" cy="1745615"/>
            <wp:effectExtent l="9525" t="9525" r="18415" b="10160"/>
            <wp:docPr id="3" name="图片 3" descr="4e8ab72d-39d9-4245-a9f3-a0c8264cb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e8ab72d-39d9-4245-a9f3-a0c8264cb8f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74561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A9917D8">
      <w:pPr>
        <w:spacing w:after="120" w:line="300" w:lineRule="auto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drawing>
          <wp:inline distT="0" distB="0" distL="114300" distR="114300">
            <wp:extent cx="5485130" cy="3582035"/>
            <wp:effectExtent l="9525" t="9525" r="17145" b="15240"/>
            <wp:docPr id="4" name="图片 4" descr="81054d73-7da9-457d-b103-7732fab943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1054d73-7da9-457d-b103-7732fab943f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358203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90AB135">
      <w:pPr>
        <w:spacing w:after="120" w:line="300" w:lineRule="auto"/>
        <w:rPr>
          <w:rFonts w:hint="default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VM based AC can only support Local Forwarding Traffic mode.</w:t>
      </w:r>
    </w:p>
    <w:p w14:paraId="0011799B">
      <w:pPr>
        <w:spacing w:after="120" w:line="300" w:lineRule="auto"/>
        <w:rPr>
          <w:rFonts w:hint="eastAsia" w:ascii="Calibri" w:hAnsi="Calibri" w:eastAsia="Calibri" w:cs="Times New Roman"/>
          <w:lang w:val="en-US" w:eastAsia="zh-CN"/>
        </w:rPr>
      </w:pPr>
    </w:p>
    <w:p w14:paraId="4BA58626">
      <w:pPr>
        <w:pStyle w:val="30"/>
        <w:keepNext w:val="0"/>
        <w:keepLines w:val="0"/>
        <w:widowControl/>
        <w:numPr>
          <w:ilvl w:val="0"/>
          <w:numId w:val="8"/>
        </w:numPr>
        <w:suppressLineNumbers w:val="0"/>
        <w:spacing w:line="240" w:lineRule="auto"/>
        <w:rPr>
          <w:rFonts w:hint="eastAsia"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Enhancements</w:t>
      </w:r>
    </w:p>
    <w:p w14:paraId="37AFD4FE">
      <w:pPr>
        <w:widowControl w:val="0"/>
        <w:spacing w:before="120" w:after="120" w:line="288" w:lineRule="auto"/>
        <w:jc w:val="left"/>
        <w:rPr>
          <w:rFonts w:hint="eastAsia" w:asciiTheme="majorHAnsi" w:hAnsiTheme="majorHAnsi" w:eastAsiaTheme="majorEastAsia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Calibri" w:hAnsi="Calibri" w:eastAsia="等线" w:cs="Arial"/>
          <w:lang w:val="en-US" w:eastAsia="zh-CN"/>
        </w:rPr>
        <w:t>- None</w:t>
      </w:r>
      <w:r>
        <w:rPr>
          <w:rFonts w:hint="eastAsia" w:ascii="Calibri" w:hAnsi="Calibri" w:eastAsia="等线" w:cs="Arial"/>
          <w:lang w:val="en-US" w:eastAsia="en-US"/>
        </w:rPr>
        <w:t>.</w:t>
      </w:r>
    </w:p>
    <w:p w14:paraId="6F1A27E3">
      <w:pPr>
        <w:pStyle w:val="30"/>
        <w:keepNext w:val="0"/>
        <w:keepLines w:val="0"/>
        <w:widowControl/>
        <w:numPr>
          <w:ilvl w:val="0"/>
          <w:numId w:val="8"/>
        </w:numPr>
        <w:suppressLineNumbers w:val="0"/>
        <w:spacing w:line="240" w:lineRule="auto"/>
        <w:ind w:left="0" w:leftChars="0" w:firstLine="0" w:firstLineChars="0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Bug Fixes</w:t>
      </w:r>
    </w:p>
    <w:p w14:paraId="2A76C960">
      <w:pPr>
        <w:widowControl w:val="0"/>
        <w:numPr>
          <w:ilvl w:val="0"/>
          <w:numId w:val="7"/>
        </w:numPr>
        <w:spacing w:before="120" w:after="120" w:line="288" w:lineRule="auto"/>
        <w:jc w:val="left"/>
        <w:rPr>
          <w:rFonts w:hint="eastAsia" w:ascii="Calibri" w:hAnsi="Calibri" w:eastAsia="Calibri" w:cs="Times New Roman"/>
          <w:lang w:val="en-US"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Topology: Fixed topology view display issues.</w:t>
      </w:r>
    </w:p>
    <w:p w14:paraId="0AA201CA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7. Known Issues</w:t>
      </w:r>
    </w:p>
    <w:p w14:paraId="2426A372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None</w:t>
      </w:r>
      <w:r>
        <w:rPr>
          <w:rFonts w:hint="eastAsia" w:ascii="Calibri" w:hAnsi="Calibri" w:eastAsia="等线" w:cs="Arial"/>
          <w:lang w:val="en-US" w:eastAsia="en-US"/>
        </w:rPr>
        <w:t>.</w:t>
      </w:r>
    </w:p>
    <w:p w14:paraId="2A7A13F4">
      <w:pPr>
        <w:pStyle w:val="30"/>
        <w:keepNext w:val="0"/>
        <w:keepLines w:val="0"/>
        <w:widowControl/>
        <w:numPr>
          <w:ilvl w:val="0"/>
          <w:numId w:val="10"/>
        </w:numPr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Compatibility &amp; Dependencies</w:t>
      </w:r>
    </w:p>
    <w:p w14:paraId="5196C9A5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None.</w:t>
      </w:r>
      <w:bookmarkStart w:id="0" w:name="_GoBack"/>
      <w:bookmarkEnd w:id="0"/>
    </w:p>
    <w:p w14:paraId="6D809113">
      <w:pPr>
        <w:pStyle w:val="30"/>
        <w:keepNext w:val="0"/>
        <w:keepLines w:val="0"/>
        <w:widowControl/>
        <w:numPr>
          <w:ilvl w:val="0"/>
          <w:numId w:val="10"/>
        </w:numPr>
        <w:suppressLineNumbers w:val="0"/>
        <w:spacing w:line="240" w:lineRule="auto"/>
        <w:ind w:left="0" w:leftChars="0" w:firstLine="0" w:firstLineChars="0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Upgrade Instructions</w:t>
      </w:r>
    </w:p>
    <w:p w14:paraId="4E55EFD2">
      <w:pPr>
        <w:widowControl w:val="0"/>
        <w:spacing w:before="120" w:after="120" w:line="288" w:lineRule="auto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Please refer to the official guide document: Westala_UnifyAC_v1.0.5.8_Quick_Guide.docx</w:t>
      </w:r>
    </w:p>
    <w:p w14:paraId="3423CC61">
      <w:pPr>
        <w:widowControl w:val="0"/>
        <w:spacing w:before="120" w:after="120" w:line="288" w:lineRule="auto"/>
        <w:jc w:val="left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Deployment Prerequisite: When the LAN port of the primary AP cascades to a secondary AP, the cascaded port must be configured in Trunk + Transparent mode; otherwise, the Mesh/VLAN link may cannot be established.</w:t>
      </w:r>
    </w:p>
    <w:p w14:paraId="13D0A040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10. Downgrade / Rollback</w:t>
      </w:r>
    </w:p>
    <w:p w14:paraId="286EE233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en-US"/>
        </w:rPr>
      </w:pPr>
      <w:r>
        <w:rPr>
          <w:rFonts w:hint="eastAsia" w:ascii="Calibri" w:hAnsi="Calibri" w:eastAsia="等线" w:cs="Arial"/>
          <w:lang w:val="en-US" w:eastAsia="zh-CN"/>
        </w:rPr>
        <w:t>- Supported version: AC v1.1.0.x can be downgraded to v1.0.6.10 on both single-node and dual-node systems.</w:t>
      </w:r>
    </w:p>
    <w:p w14:paraId="6406BBF1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Config compatibility: None</w:t>
      </w:r>
    </w:p>
    <w:p w14:paraId="30916198">
      <w:pPr>
        <w:pStyle w:val="30"/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ind w:leftChars="0" w:right="0" w:rightChars="0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11. TAC Advisory</w:t>
      </w:r>
    </w:p>
    <w:p w14:paraId="4ADCFE0A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 xml:space="preserve">- Recommended upgrade scenarios: </w:t>
      </w:r>
    </w:p>
    <w:p w14:paraId="53E5B577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en-US"/>
        </w:rPr>
      </w:pPr>
      <w:r>
        <w:rPr>
          <w:rFonts w:hint="eastAsia" w:ascii="Calibri" w:hAnsi="Calibri" w:eastAsia="等线" w:cs="Arial"/>
          <w:lang w:val="en-US" w:eastAsia="zh-CN"/>
        </w:rPr>
        <w:t xml:space="preserve">- Known risks in previous versions: </w:t>
      </w:r>
    </w:p>
    <w:p w14:paraId="103B9F7C">
      <w:pPr>
        <w:pStyle w:val="30"/>
        <w:keepNext w:val="0"/>
        <w:keepLines w:val="0"/>
        <w:widowControl/>
        <w:numPr>
          <w:ilvl w:val="0"/>
          <w:numId w:val="11"/>
        </w:numPr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Deployment Notes</w:t>
      </w:r>
    </w:p>
    <w:p w14:paraId="33B7F2E2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None.</w:t>
      </w:r>
    </w:p>
    <w:p w14:paraId="106C589F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13. PoE Power Budget</w:t>
      </w:r>
    </w:p>
    <w:p w14:paraId="566A4548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Not applicable</w:t>
      </w:r>
    </w:p>
    <w:p w14:paraId="13315E38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14. Thermal Advisory</w:t>
      </w:r>
    </w:p>
    <w:p w14:paraId="5ECF7C42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Passive Heat Dissipation, do not cover the surface with any objects</w:t>
      </w:r>
    </w:p>
    <w:p w14:paraId="5986C032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15. Security Updates</w:t>
      </w:r>
    </w:p>
    <w:p w14:paraId="027B67DE">
      <w:pPr>
        <w:widowControl w:val="0"/>
        <w:spacing w:before="120" w:after="120" w:line="288" w:lineRule="auto"/>
        <w:jc w:val="left"/>
        <w:rPr>
          <w:rFonts w:hint="default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Not applicable</w:t>
      </w:r>
    </w:p>
    <w:p w14:paraId="60BF426C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16. Documentation &amp; Support</w:t>
      </w:r>
    </w:p>
    <w:p w14:paraId="5D7CD45B">
      <w:pPr>
        <w:widowControl w:val="0"/>
        <w:spacing w:before="120" w:after="120" w:line="288" w:lineRule="auto"/>
        <w:jc w:val="left"/>
        <w:rPr>
          <w:rFonts w:hint="eastAsia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 xml:space="preserve">- Support: </w:t>
      </w:r>
      <w:r>
        <w:rPr>
          <w:rFonts w:hint="eastAsia" w:ascii="Calibri" w:hAnsi="Calibri" w:eastAsia="等线" w:cs="Arial"/>
          <w:color w:val="0000FF"/>
          <w:u w:val="single"/>
          <w:lang w:val="en-US" w:eastAsia="zh-CN"/>
        </w:rPr>
        <w:fldChar w:fldCharType="begin"/>
      </w:r>
      <w:r>
        <w:rPr>
          <w:rFonts w:hint="eastAsia" w:ascii="Calibri" w:hAnsi="Calibri" w:eastAsia="等线" w:cs="Arial"/>
          <w:color w:val="0000FF"/>
          <w:u w:val="single"/>
          <w:lang w:val="en-US" w:eastAsia="zh-CN"/>
        </w:rPr>
        <w:instrText xml:space="preserve"> HYPERLINK "mailto:support@westalatech.com" </w:instrText>
      </w:r>
      <w:r>
        <w:rPr>
          <w:rFonts w:hint="eastAsia" w:ascii="Calibri" w:hAnsi="Calibri" w:eastAsia="等线" w:cs="Arial"/>
          <w:color w:val="0000FF"/>
          <w:u w:val="single"/>
          <w:lang w:val="en-US" w:eastAsia="zh-CN"/>
        </w:rPr>
        <w:fldChar w:fldCharType="separate"/>
      </w:r>
      <w:r>
        <w:rPr>
          <w:rFonts w:hint="eastAsia" w:ascii="Calibri" w:hAnsi="Calibri" w:eastAsia="等线" w:cs="Arial"/>
          <w:color w:val="0000FF"/>
          <w:u w:val="single"/>
          <w:lang w:val="en-US" w:eastAsia="zh-CN"/>
        </w:rPr>
        <w:t>support@westalatech.com</w:t>
      </w:r>
      <w:r>
        <w:rPr>
          <w:rFonts w:hint="eastAsia" w:ascii="Calibri" w:hAnsi="Calibri" w:eastAsia="等线" w:cs="Arial"/>
          <w:color w:val="0000FF"/>
          <w:u w:val="single"/>
          <w:lang w:val="en-US" w:eastAsia="zh-CN"/>
        </w:rPr>
        <w:fldChar w:fldCharType="end"/>
      </w:r>
    </w:p>
    <w:p w14:paraId="31D036BE">
      <w:pPr>
        <w:pStyle w:val="30"/>
        <w:keepNext w:val="0"/>
        <w:keepLines w:val="0"/>
        <w:widowControl/>
        <w:suppressLineNumbers w:val="0"/>
        <w:spacing w:line="240" w:lineRule="auto"/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eastAsia="宋体" w:asciiTheme="majorHAnsi" w:hAnsiTheme="majorHAnsi" w:cstheme="majorBidi"/>
          <w:b/>
          <w:bCs/>
          <w:color w:val="4F81BD" w:themeColor="accent1"/>
          <w:kern w:val="0"/>
          <w:sz w:val="26"/>
          <w:szCs w:val="26"/>
          <w:lang w:val="en-US" w:eastAsia="zh-CN" w:bidi="ar-SA"/>
          <w14:textFill>
            <w14:solidFill>
              <w14:schemeClr w14:val="accent1"/>
            </w14:solidFill>
          </w14:textFill>
        </w:rPr>
        <w:t>17. Disclaimer</w:t>
      </w:r>
    </w:p>
    <w:p w14:paraId="6A0FB8BF">
      <w:pPr>
        <w:widowControl w:val="0"/>
        <w:spacing w:before="120" w:after="120" w:line="288" w:lineRule="auto"/>
        <w:jc w:val="left"/>
        <w:rPr>
          <w:rFonts w:hint="eastAsia" w:ascii="Calibri" w:hAnsi="Calibri" w:eastAsia="等线" w:cs="Arial"/>
          <w:lang w:val="en-US" w:eastAsia="zh-CN"/>
        </w:rPr>
      </w:pPr>
      <w:r>
        <w:rPr>
          <w:rFonts w:hint="eastAsia" w:ascii="Calibri" w:hAnsi="Calibri" w:eastAsia="等线" w:cs="Arial"/>
          <w:lang w:val="en-US" w:eastAsia="zh-CN"/>
        </w:rPr>
        <w:t>- Westala reserves the right to modify specifications without notice.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B865D">
    <w:pPr>
      <w:widowControl w:val="0"/>
      <w:spacing w:after="0" w:line="240" w:lineRule="auto"/>
      <w:jc w:val="both"/>
      <w:rPr>
        <w:rFonts w:ascii="Times New Roman" w:hAnsi="Times New Roman" w:eastAsia="宋体" w:cs="Times New Roman"/>
        <w:sz w:val="21"/>
        <w:lang w:eastAsia="zh-CN"/>
      </w:rPr>
    </w:pPr>
    <w:r>
      <w:rPr>
        <w:rFonts w:ascii="Times New Roman" w:hAnsi="Times New Roman" w:eastAsia="宋体" w:cs="Times New Roman"/>
        <w:sz w:val="21"/>
        <w:lang w:eastAsia="zh-CN"/>
      </w:rPr>
      <w:t>Westala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B09BE">
    <w:pPr>
      <w:pStyle w:val="25"/>
      <w:tabs>
        <w:tab w:val="left" w:pos="6744"/>
        <w:tab w:val="clear" w:pos="4680"/>
      </w:tabs>
      <w:jc w:val="both"/>
      <w:rPr>
        <w:rFonts w:hint="default" w:eastAsia="宋体"/>
        <w:lang w:val="en-US" w:eastAsia="zh-CN"/>
      </w:rPr>
    </w:pPr>
    <w:r>
      <w:rPr>
        <w:rFonts w:hint="eastAsia"/>
      </w:rPr>
      <w:drawing>
        <wp:inline distT="0" distB="0" distL="0" distR="0">
          <wp:extent cx="1827530" cy="468630"/>
          <wp:effectExtent l="0" t="0" r="1270" b="1270"/>
          <wp:docPr id="522704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704141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12" cy="48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         </w:t>
    </w:r>
    <w:r>
      <w:t xml:space="preserve">Westala | </w:t>
    </w:r>
    <w:r>
      <w:rPr>
        <w:rFonts w:hint="eastAsia"/>
        <w:lang w:val="en-US" w:eastAsia="zh-CN"/>
      </w:rPr>
      <w:t xml:space="preserve">UnifyAC </w:t>
    </w:r>
    <w:r>
      <w:rPr>
        <w:rFonts w:hint="eastAsia" w:eastAsia="宋体"/>
        <w:lang w:val="en-US" w:eastAsia="zh-CN"/>
      </w:rPr>
      <w:t>Release 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432125"/>
    <w:multiLevelType w:val="singleLevel"/>
    <w:tmpl w:val="EE432125"/>
    <w:lvl w:ilvl="0" w:tentative="0">
      <w:start w:val="8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0053208E"/>
    <w:multiLevelType w:val="multilevel"/>
    <w:tmpl w:val="0053208E"/>
    <w:lvl w:ilvl="0" w:tentative="0">
      <w:start w:val="1"/>
      <w:numFmt w:val="bullet"/>
      <w:lvlText w:val="•"/>
      <w:lvlJc w:val="left"/>
      <w:pPr>
        <w:ind w:left="480" w:hanging="240"/>
      </w:pPr>
    </w:lvl>
    <w:lvl w:ilvl="1" w:tentative="0">
      <w:start w:val="1"/>
      <w:numFmt w:val="bullet"/>
      <w:lvlText w:val="–"/>
      <w:lvlJc w:val="left"/>
      <w:pPr>
        <w:ind w:left="960" w:hanging="240"/>
      </w:pPr>
    </w:lvl>
  </w:abstractNum>
  <w:abstractNum w:abstractNumId="8">
    <w:nsid w:val="085A2FD8"/>
    <w:multiLevelType w:val="singleLevel"/>
    <w:tmpl w:val="085A2FD8"/>
    <w:lvl w:ilvl="0" w:tentative="0">
      <w:start w:val="12"/>
      <w:numFmt w:val="decimal"/>
      <w:suff w:val="space"/>
      <w:lvlText w:val="%1."/>
      <w:lvlJc w:val="left"/>
    </w:lvl>
  </w:abstractNum>
  <w:abstractNum w:abstractNumId="9">
    <w:nsid w:val="3B12FF3D"/>
    <w:multiLevelType w:val="singleLevel"/>
    <w:tmpl w:val="3B12FF3D"/>
    <w:lvl w:ilvl="0" w:tentative="0">
      <w:start w:val="4"/>
      <w:numFmt w:val="decimal"/>
      <w:suff w:val="space"/>
      <w:lvlText w:val="%1."/>
      <w:lvlJc w:val="left"/>
    </w:lvl>
  </w:abstractNum>
  <w:abstractNum w:abstractNumId="10">
    <w:nsid w:val="3BFCD544"/>
    <w:multiLevelType w:val="multilevel"/>
    <w:tmpl w:val="3BFCD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10"/>
  </w:num>
  <w:num w:numId="8">
    <w:abstractNumId w:val="9"/>
  </w:num>
  <w:num w:numId="9">
    <w:abstractNumId w:val="7"/>
    <w:lvlOverride w:ilvl="0">
      <w:startOverride w:val="1"/>
    </w:lvlOverride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4DE8"/>
    <w:rsid w:val="00AA1D8D"/>
    <w:rsid w:val="00B47730"/>
    <w:rsid w:val="00CB0664"/>
    <w:rsid w:val="00FC693F"/>
    <w:rsid w:val="01A66D37"/>
    <w:rsid w:val="01DD7FC3"/>
    <w:rsid w:val="02704AC1"/>
    <w:rsid w:val="03666E02"/>
    <w:rsid w:val="05C84B0D"/>
    <w:rsid w:val="05D708F0"/>
    <w:rsid w:val="064D4056"/>
    <w:rsid w:val="06C51CB8"/>
    <w:rsid w:val="090D45AD"/>
    <w:rsid w:val="0C0A6435"/>
    <w:rsid w:val="0DC65EDD"/>
    <w:rsid w:val="0DCE1539"/>
    <w:rsid w:val="0EC20846"/>
    <w:rsid w:val="0F4A1CE5"/>
    <w:rsid w:val="11F80203"/>
    <w:rsid w:val="12030F2A"/>
    <w:rsid w:val="12EB0F4D"/>
    <w:rsid w:val="13CD0607"/>
    <w:rsid w:val="149246DD"/>
    <w:rsid w:val="15052E55"/>
    <w:rsid w:val="153322C7"/>
    <w:rsid w:val="15B1613F"/>
    <w:rsid w:val="161A7D77"/>
    <w:rsid w:val="16591A97"/>
    <w:rsid w:val="16C14056"/>
    <w:rsid w:val="172B73EB"/>
    <w:rsid w:val="185F3337"/>
    <w:rsid w:val="19187E6D"/>
    <w:rsid w:val="197B401F"/>
    <w:rsid w:val="198B6DA5"/>
    <w:rsid w:val="19A92072"/>
    <w:rsid w:val="19BC3B1C"/>
    <w:rsid w:val="1A8C5DB8"/>
    <w:rsid w:val="1B707488"/>
    <w:rsid w:val="1E670C0A"/>
    <w:rsid w:val="1EAF02C7"/>
    <w:rsid w:val="20BB2F53"/>
    <w:rsid w:val="20EA1F62"/>
    <w:rsid w:val="22001566"/>
    <w:rsid w:val="224C234F"/>
    <w:rsid w:val="22603815"/>
    <w:rsid w:val="23936AD4"/>
    <w:rsid w:val="23AE687A"/>
    <w:rsid w:val="23C04937"/>
    <w:rsid w:val="243466CA"/>
    <w:rsid w:val="24631144"/>
    <w:rsid w:val="25695E34"/>
    <w:rsid w:val="25745E62"/>
    <w:rsid w:val="261E556D"/>
    <w:rsid w:val="263578E4"/>
    <w:rsid w:val="271C2980"/>
    <w:rsid w:val="27C967C7"/>
    <w:rsid w:val="288972BE"/>
    <w:rsid w:val="28F23CD8"/>
    <w:rsid w:val="2900009D"/>
    <w:rsid w:val="295F522B"/>
    <w:rsid w:val="2B9138CC"/>
    <w:rsid w:val="2BE4468D"/>
    <w:rsid w:val="2CFF7C66"/>
    <w:rsid w:val="2E864E06"/>
    <w:rsid w:val="2EA744E6"/>
    <w:rsid w:val="2F9B5A6F"/>
    <w:rsid w:val="30C87467"/>
    <w:rsid w:val="31DB3279"/>
    <w:rsid w:val="32AD1CBA"/>
    <w:rsid w:val="35107A26"/>
    <w:rsid w:val="35C33F7F"/>
    <w:rsid w:val="36AC0F7C"/>
    <w:rsid w:val="37C41C13"/>
    <w:rsid w:val="3A952932"/>
    <w:rsid w:val="3AB45DBE"/>
    <w:rsid w:val="3B043937"/>
    <w:rsid w:val="3CA01A28"/>
    <w:rsid w:val="3D241918"/>
    <w:rsid w:val="3ED01A3A"/>
    <w:rsid w:val="3FDE008A"/>
    <w:rsid w:val="412A67D4"/>
    <w:rsid w:val="42147227"/>
    <w:rsid w:val="428C4B4B"/>
    <w:rsid w:val="42D45FD7"/>
    <w:rsid w:val="437445E4"/>
    <w:rsid w:val="43BD4252"/>
    <w:rsid w:val="445F22F7"/>
    <w:rsid w:val="458D1BE3"/>
    <w:rsid w:val="45EC42C8"/>
    <w:rsid w:val="46486DE7"/>
    <w:rsid w:val="472F3046"/>
    <w:rsid w:val="48331B28"/>
    <w:rsid w:val="49672751"/>
    <w:rsid w:val="4A3E2DFA"/>
    <w:rsid w:val="4A454E53"/>
    <w:rsid w:val="4A657E11"/>
    <w:rsid w:val="4B246E03"/>
    <w:rsid w:val="4B692BCF"/>
    <w:rsid w:val="4C7702B9"/>
    <w:rsid w:val="4C94327B"/>
    <w:rsid w:val="4CDC73F0"/>
    <w:rsid w:val="4D784B41"/>
    <w:rsid w:val="4DCB43DE"/>
    <w:rsid w:val="4DE2233F"/>
    <w:rsid w:val="4DF5709E"/>
    <w:rsid w:val="4F000FA0"/>
    <w:rsid w:val="4F56695D"/>
    <w:rsid w:val="4F917F2C"/>
    <w:rsid w:val="500831FC"/>
    <w:rsid w:val="52210461"/>
    <w:rsid w:val="52322B1B"/>
    <w:rsid w:val="52402AD5"/>
    <w:rsid w:val="52425330"/>
    <w:rsid w:val="55650480"/>
    <w:rsid w:val="564679BC"/>
    <w:rsid w:val="568B3B27"/>
    <w:rsid w:val="56F825E0"/>
    <w:rsid w:val="578F5A75"/>
    <w:rsid w:val="58CB38C0"/>
    <w:rsid w:val="59EF5B16"/>
    <w:rsid w:val="5A1153B7"/>
    <w:rsid w:val="5A602A52"/>
    <w:rsid w:val="5AB43B91"/>
    <w:rsid w:val="5BBB4E20"/>
    <w:rsid w:val="5BED660D"/>
    <w:rsid w:val="5CAD786E"/>
    <w:rsid w:val="5F0F0333"/>
    <w:rsid w:val="61296084"/>
    <w:rsid w:val="63047B24"/>
    <w:rsid w:val="64526358"/>
    <w:rsid w:val="650E5D6B"/>
    <w:rsid w:val="654A3ABB"/>
    <w:rsid w:val="65A60D1F"/>
    <w:rsid w:val="65B73553"/>
    <w:rsid w:val="67E364E5"/>
    <w:rsid w:val="6A5B518D"/>
    <w:rsid w:val="6B126460"/>
    <w:rsid w:val="6C930771"/>
    <w:rsid w:val="6CD75FEC"/>
    <w:rsid w:val="6D856A2A"/>
    <w:rsid w:val="6E1A474C"/>
    <w:rsid w:val="708C5B7E"/>
    <w:rsid w:val="712D4507"/>
    <w:rsid w:val="72415C60"/>
    <w:rsid w:val="727B2BAE"/>
    <w:rsid w:val="72D6763D"/>
    <w:rsid w:val="736B7742"/>
    <w:rsid w:val="73CD7E9D"/>
    <w:rsid w:val="75A9471F"/>
    <w:rsid w:val="76804A11"/>
    <w:rsid w:val="76E273F2"/>
    <w:rsid w:val="77693F2C"/>
    <w:rsid w:val="7937451C"/>
    <w:rsid w:val="79BE1DC1"/>
    <w:rsid w:val="7A191FFB"/>
    <w:rsid w:val="7AE70D64"/>
    <w:rsid w:val="7AF22B9C"/>
    <w:rsid w:val="7BC136E6"/>
    <w:rsid w:val="7C847623"/>
    <w:rsid w:val="7DE2375F"/>
    <w:rsid w:val="7F8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styleId="137">
    <w:name w:val="HTML Code"/>
    <w:basedOn w:val="133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38">
    <w:name w:val="Header Char"/>
    <w:basedOn w:val="133"/>
    <w:link w:val="25"/>
    <w:qFormat/>
    <w:uiPriority w:val="99"/>
  </w:style>
  <w:style w:type="character" w:customStyle="1" w:styleId="139">
    <w:name w:val="Footer Char"/>
    <w:basedOn w:val="133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3"/>
    <w:link w:val="19"/>
    <w:qFormat/>
    <w:uiPriority w:val="99"/>
  </w:style>
  <w:style w:type="character" w:customStyle="1" w:styleId="148">
    <w:name w:val="Body Text 2 Char"/>
    <w:basedOn w:val="133"/>
    <w:link w:val="28"/>
    <w:qFormat/>
    <w:uiPriority w:val="99"/>
  </w:style>
  <w:style w:type="character" w:customStyle="1" w:styleId="149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3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3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7">
    <w:name w:val="Compact"/>
    <w:basedOn w:val="19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326</Words>
  <Characters>1890</Characters>
  <Lines>0</Lines>
  <Paragraphs>0</Paragraphs>
  <TotalTime>33</TotalTime>
  <ScaleCrop>false</ScaleCrop>
  <LinksUpToDate>false</LinksUpToDate>
  <CharactersWithSpaces>2157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T</cp:lastModifiedBy>
  <dcterms:modified xsi:type="dcterms:W3CDTF">2026-09-30T09:38:14Z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eyJoZGlkIjoiYzM5MjFkZGJkNGU5ZTMwOGQ2YWVhMjI0YjdhYzI5YzgiLCJ1c2VySWQiOiIzNTg5OTkwNTUifQ==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3CB8A49E826245529B848BDD0F4FCFEC_13</vt:lpwstr>
  </property>
</Properties>
</file>